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F83BB6" w14:textId="33CE6C7E" w:rsidR="006976EC" w:rsidRPr="00DD256C" w:rsidRDefault="00A00B78" w:rsidP="00A00B78">
      <w:pPr>
        <w:spacing w:line="276" w:lineRule="auto"/>
        <w:jc w:val="both"/>
        <w:rPr>
          <w:rFonts w:ascii="Times New Roman" w:hAnsi="Times New Roman" w:cs="Times New Roman"/>
          <w:color w:val="212121"/>
          <w:sz w:val="21"/>
          <w:szCs w:val="21"/>
          <w:shd w:val="clear" w:color="auto" w:fill="FFFFFF"/>
        </w:rPr>
      </w:pPr>
      <w:r w:rsidRPr="00A00B78">
        <w:rPr>
          <w:rFonts w:ascii="Times New Roman" w:hAnsi="Times New Roman" w:cs="Times New Roman"/>
          <w:color w:val="212121"/>
          <w:sz w:val="21"/>
          <w:szCs w:val="21"/>
          <w:shd w:val="clear" w:color="auto" w:fill="FFFFFF"/>
        </w:rPr>
        <w:t>Supplementary Table 1</w:t>
      </w:r>
      <w:r>
        <w:rPr>
          <w:rFonts w:ascii="Times New Roman" w:hAnsi="Times New Roman" w:cs="Times New Roman"/>
          <w:color w:val="212121"/>
          <w:sz w:val="21"/>
          <w:szCs w:val="21"/>
          <w:shd w:val="clear" w:color="auto" w:fill="FFFFFF"/>
        </w:rPr>
        <w:t xml:space="preserve">. </w:t>
      </w:r>
      <w:r w:rsidR="003C4458">
        <w:rPr>
          <w:rFonts w:ascii="Times New Roman" w:hAnsi="Times New Roman" w:cs="Times New Roman"/>
          <w:color w:val="212121"/>
          <w:sz w:val="21"/>
          <w:szCs w:val="21"/>
          <w:shd w:val="clear" w:color="auto" w:fill="FFFFFF"/>
        </w:rPr>
        <w:t xml:space="preserve">Data Extraction </w:t>
      </w:r>
    </w:p>
    <w:tbl>
      <w:tblPr>
        <w:tblStyle w:val="TableGrid"/>
        <w:tblpPr w:leftFromText="180" w:rightFromText="180" w:vertAnchor="text" w:horzAnchor="margin" w:tblpXSpec="center" w:tblpY="340"/>
        <w:tblW w:w="14992" w:type="dxa"/>
        <w:tblLook w:val="04A0" w:firstRow="1" w:lastRow="0" w:firstColumn="1" w:lastColumn="0" w:noHBand="0" w:noVBand="1"/>
      </w:tblPr>
      <w:tblGrid>
        <w:gridCol w:w="1167"/>
        <w:gridCol w:w="876"/>
        <w:gridCol w:w="1106"/>
        <w:gridCol w:w="975"/>
        <w:gridCol w:w="706"/>
        <w:gridCol w:w="1078"/>
        <w:gridCol w:w="1381"/>
        <w:gridCol w:w="1403"/>
        <w:gridCol w:w="962"/>
        <w:gridCol w:w="2488"/>
        <w:gridCol w:w="1227"/>
        <w:gridCol w:w="1623"/>
      </w:tblGrid>
      <w:tr w:rsidR="006976EC" w:rsidRPr="00DD256C" w14:paraId="4FBADE0A" w14:textId="77777777" w:rsidTr="00F2440B">
        <w:tc>
          <w:tcPr>
            <w:tcW w:w="0" w:type="auto"/>
          </w:tcPr>
          <w:p w14:paraId="6C178A9C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 xml:space="preserve">Study </w:t>
            </w:r>
          </w:p>
          <w:p w14:paraId="5E2D662D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</w:p>
        </w:tc>
        <w:tc>
          <w:tcPr>
            <w:tcW w:w="0" w:type="auto"/>
          </w:tcPr>
          <w:p w14:paraId="0EB5AE95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 xml:space="preserve">Sample </w:t>
            </w:r>
          </w:p>
          <w:p w14:paraId="6AF7429F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Size</w:t>
            </w:r>
          </w:p>
        </w:tc>
        <w:tc>
          <w:tcPr>
            <w:tcW w:w="0" w:type="auto"/>
          </w:tcPr>
          <w:p w14:paraId="2AC3CC51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Duration of</w:t>
            </w:r>
          </w:p>
          <w:p w14:paraId="34821153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Study</w:t>
            </w:r>
          </w:p>
        </w:tc>
        <w:tc>
          <w:tcPr>
            <w:tcW w:w="975" w:type="dxa"/>
          </w:tcPr>
          <w:p w14:paraId="7CDF6515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Study type</w:t>
            </w:r>
          </w:p>
        </w:tc>
        <w:tc>
          <w:tcPr>
            <w:tcW w:w="706" w:type="dxa"/>
          </w:tcPr>
          <w:p w14:paraId="2135BEDB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Year</w:t>
            </w:r>
          </w:p>
        </w:tc>
        <w:tc>
          <w:tcPr>
            <w:tcW w:w="0" w:type="auto"/>
          </w:tcPr>
          <w:p w14:paraId="25E7A483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 xml:space="preserve">Country of </w:t>
            </w:r>
          </w:p>
          <w:p w14:paraId="429EFDF9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study</w:t>
            </w:r>
          </w:p>
        </w:tc>
        <w:tc>
          <w:tcPr>
            <w:tcW w:w="0" w:type="auto"/>
          </w:tcPr>
          <w:p w14:paraId="6881FEC3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 xml:space="preserve">Age of </w:t>
            </w:r>
          </w:p>
          <w:p w14:paraId="5E177FB7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Participants</w:t>
            </w:r>
          </w:p>
        </w:tc>
        <w:tc>
          <w:tcPr>
            <w:tcW w:w="0" w:type="auto"/>
          </w:tcPr>
          <w:p w14:paraId="468B7981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 xml:space="preserve">Health </w:t>
            </w:r>
          </w:p>
          <w:p w14:paraId="6FC12486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Status</w:t>
            </w:r>
          </w:p>
        </w:tc>
        <w:tc>
          <w:tcPr>
            <w:tcW w:w="0" w:type="auto"/>
          </w:tcPr>
          <w:p w14:paraId="5FA320A3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setting</w:t>
            </w:r>
          </w:p>
        </w:tc>
        <w:tc>
          <w:tcPr>
            <w:tcW w:w="0" w:type="auto"/>
          </w:tcPr>
          <w:p w14:paraId="10280614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Dose of ARB/ARB</w:t>
            </w:r>
          </w:p>
          <w:p w14:paraId="6A7DE037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 xml:space="preserve">+HCTZ </w:t>
            </w:r>
          </w:p>
        </w:tc>
        <w:tc>
          <w:tcPr>
            <w:tcW w:w="0" w:type="auto"/>
          </w:tcPr>
          <w:p w14:paraId="7A0F8B99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Loss to follow up</w:t>
            </w:r>
          </w:p>
        </w:tc>
        <w:tc>
          <w:tcPr>
            <w:tcW w:w="1623" w:type="dxa"/>
          </w:tcPr>
          <w:p w14:paraId="416B62D2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Outcome /measurement</w:t>
            </w:r>
          </w:p>
        </w:tc>
      </w:tr>
      <w:tr w:rsidR="006976EC" w:rsidRPr="00DD256C" w14:paraId="2B9BEA0D" w14:textId="77777777" w:rsidTr="00F2440B">
        <w:trPr>
          <w:trHeight w:val="467"/>
        </w:trPr>
        <w:tc>
          <w:tcPr>
            <w:tcW w:w="0" w:type="auto"/>
          </w:tcPr>
          <w:p w14:paraId="4EE517F9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proofErr w:type="spellStart"/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Borrios</w:t>
            </w:r>
            <w:proofErr w:type="spellEnd"/>
          </w:p>
        </w:tc>
        <w:tc>
          <w:tcPr>
            <w:tcW w:w="0" w:type="auto"/>
          </w:tcPr>
          <w:p w14:paraId="45D58C57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627</w:t>
            </w:r>
          </w:p>
        </w:tc>
        <w:tc>
          <w:tcPr>
            <w:tcW w:w="0" w:type="auto"/>
          </w:tcPr>
          <w:p w14:paraId="2C75BA20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12 weeks</w:t>
            </w:r>
          </w:p>
        </w:tc>
        <w:tc>
          <w:tcPr>
            <w:tcW w:w="975" w:type="dxa"/>
          </w:tcPr>
          <w:p w14:paraId="3B723345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Double blinding</w:t>
            </w:r>
          </w:p>
        </w:tc>
        <w:tc>
          <w:tcPr>
            <w:tcW w:w="706" w:type="dxa"/>
          </w:tcPr>
          <w:p w14:paraId="2725A925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2007</w:t>
            </w:r>
          </w:p>
        </w:tc>
        <w:tc>
          <w:tcPr>
            <w:tcW w:w="0" w:type="auto"/>
          </w:tcPr>
          <w:p w14:paraId="6AD6CA6E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Europe</w:t>
            </w:r>
          </w:p>
        </w:tc>
        <w:tc>
          <w:tcPr>
            <w:tcW w:w="0" w:type="auto"/>
          </w:tcPr>
          <w:p w14:paraId="4D20BD92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55 years</w:t>
            </w:r>
          </w:p>
        </w:tc>
        <w:tc>
          <w:tcPr>
            <w:tcW w:w="0" w:type="auto"/>
          </w:tcPr>
          <w:p w14:paraId="7C155B2F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proofErr w:type="spellStart"/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Hyperte</w:t>
            </w:r>
            <w:proofErr w:type="spellEnd"/>
          </w:p>
          <w:p w14:paraId="5A580F69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proofErr w:type="spellStart"/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nsive</w:t>
            </w:r>
            <w:proofErr w:type="spellEnd"/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 xml:space="preserve"> patients</w:t>
            </w:r>
          </w:p>
        </w:tc>
        <w:tc>
          <w:tcPr>
            <w:tcW w:w="0" w:type="auto"/>
          </w:tcPr>
          <w:p w14:paraId="7F541A5D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Hospital</w:t>
            </w:r>
          </w:p>
        </w:tc>
        <w:tc>
          <w:tcPr>
            <w:tcW w:w="0" w:type="auto"/>
          </w:tcPr>
          <w:p w14:paraId="58845F37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OLM</w:t>
            </w:r>
          </w:p>
          <w:p w14:paraId="69459D84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20mg/OLM</w:t>
            </w:r>
          </w:p>
          <w:p w14:paraId="2EB8B74E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(40Mg) +HCTZ</w:t>
            </w:r>
          </w:p>
          <w:p w14:paraId="7F5D09D1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12.5mg</w:t>
            </w:r>
          </w:p>
        </w:tc>
        <w:tc>
          <w:tcPr>
            <w:tcW w:w="0" w:type="auto"/>
          </w:tcPr>
          <w:p w14:paraId="2F4E9901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26</w:t>
            </w:r>
          </w:p>
        </w:tc>
        <w:tc>
          <w:tcPr>
            <w:tcW w:w="1623" w:type="dxa"/>
          </w:tcPr>
          <w:p w14:paraId="75507B6D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Efficacy and tolerability</w:t>
            </w:r>
          </w:p>
        </w:tc>
      </w:tr>
      <w:tr w:rsidR="006976EC" w:rsidRPr="00DD256C" w14:paraId="2E587564" w14:textId="77777777" w:rsidTr="00F2440B">
        <w:tc>
          <w:tcPr>
            <w:tcW w:w="0" w:type="auto"/>
          </w:tcPr>
          <w:p w14:paraId="176ECC77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Bonner</w:t>
            </w:r>
          </w:p>
        </w:tc>
        <w:tc>
          <w:tcPr>
            <w:tcW w:w="0" w:type="auto"/>
          </w:tcPr>
          <w:p w14:paraId="10A6BF9C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1975</w:t>
            </w:r>
          </w:p>
        </w:tc>
        <w:tc>
          <w:tcPr>
            <w:tcW w:w="0" w:type="auto"/>
          </w:tcPr>
          <w:p w14:paraId="681176FF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8 weeks</w:t>
            </w:r>
          </w:p>
        </w:tc>
        <w:tc>
          <w:tcPr>
            <w:tcW w:w="975" w:type="dxa"/>
          </w:tcPr>
          <w:p w14:paraId="010EFEBD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 xml:space="preserve">Double </w:t>
            </w:r>
          </w:p>
          <w:p w14:paraId="374F53EE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blinding</w:t>
            </w:r>
          </w:p>
        </w:tc>
        <w:tc>
          <w:tcPr>
            <w:tcW w:w="706" w:type="dxa"/>
          </w:tcPr>
          <w:p w14:paraId="79539EEF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2008</w:t>
            </w:r>
          </w:p>
        </w:tc>
        <w:tc>
          <w:tcPr>
            <w:tcW w:w="0" w:type="auto"/>
          </w:tcPr>
          <w:p w14:paraId="18053B73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Europe</w:t>
            </w:r>
          </w:p>
        </w:tc>
        <w:tc>
          <w:tcPr>
            <w:tcW w:w="0" w:type="auto"/>
          </w:tcPr>
          <w:p w14:paraId="1BC671BD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55</w:t>
            </w:r>
          </w:p>
        </w:tc>
        <w:tc>
          <w:tcPr>
            <w:tcW w:w="0" w:type="auto"/>
          </w:tcPr>
          <w:p w14:paraId="270613AA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proofErr w:type="spellStart"/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Hyperte</w:t>
            </w:r>
            <w:proofErr w:type="spellEnd"/>
          </w:p>
          <w:p w14:paraId="2F2D167C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proofErr w:type="spellStart"/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Nsive</w:t>
            </w:r>
            <w:proofErr w:type="spellEnd"/>
          </w:p>
          <w:p w14:paraId="6FC44F96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patients</w:t>
            </w:r>
          </w:p>
        </w:tc>
        <w:tc>
          <w:tcPr>
            <w:tcW w:w="0" w:type="auto"/>
          </w:tcPr>
          <w:p w14:paraId="592E24B4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Hospital</w:t>
            </w:r>
          </w:p>
        </w:tc>
        <w:tc>
          <w:tcPr>
            <w:tcW w:w="0" w:type="auto"/>
          </w:tcPr>
          <w:p w14:paraId="5A42E6EE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CAN 32m/CAN32</w:t>
            </w:r>
          </w:p>
          <w:p w14:paraId="53A2149F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Mg+HCTZ12.5mg</w:t>
            </w:r>
          </w:p>
        </w:tc>
        <w:tc>
          <w:tcPr>
            <w:tcW w:w="0" w:type="auto"/>
          </w:tcPr>
          <w:p w14:paraId="0BFE01A4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57</w:t>
            </w:r>
          </w:p>
        </w:tc>
        <w:tc>
          <w:tcPr>
            <w:tcW w:w="1623" w:type="dxa"/>
          </w:tcPr>
          <w:p w14:paraId="2A9196F1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Efficacy and tolerability</w:t>
            </w:r>
          </w:p>
        </w:tc>
      </w:tr>
      <w:tr w:rsidR="006976EC" w:rsidRPr="00DD256C" w14:paraId="65ECD621" w14:textId="77777777" w:rsidTr="00F2440B">
        <w:tc>
          <w:tcPr>
            <w:tcW w:w="0" w:type="auto"/>
          </w:tcPr>
          <w:p w14:paraId="129C4F01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Gleim</w:t>
            </w:r>
          </w:p>
        </w:tc>
        <w:tc>
          <w:tcPr>
            <w:tcW w:w="0" w:type="auto"/>
          </w:tcPr>
          <w:p w14:paraId="118F8C65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292</w:t>
            </w:r>
          </w:p>
        </w:tc>
        <w:tc>
          <w:tcPr>
            <w:tcW w:w="0" w:type="auto"/>
          </w:tcPr>
          <w:p w14:paraId="4B09A68E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10 weeks</w:t>
            </w:r>
          </w:p>
        </w:tc>
        <w:tc>
          <w:tcPr>
            <w:tcW w:w="975" w:type="dxa"/>
          </w:tcPr>
          <w:p w14:paraId="4C476157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 xml:space="preserve">Double </w:t>
            </w:r>
          </w:p>
          <w:p w14:paraId="696E1295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blinding</w:t>
            </w:r>
          </w:p>
        </w:tc>
        <w:tc>
          <w:tcPr>
            <w:tcW w:w="706" w:type="dxa"/>
          </w:tcPr>
          <w:p w14:paraId="3ECBBF03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2006</w:t>
            </w:r>
          </w:p>
        </w:tc>
        <w:tc>
          <w:tcPr>
            <w:tcW w:w="0" w:type="auto"/>
          </w:tcPr>
          <w:p w14:paraId="296BAA9C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Europe</w:t>
            </w:r>
          </w:p>
        </w:tc>
        <w:tc>
          <w:tcPr>
            <w:tcW w:w="0" w:type="auto"/>
          </w:tcPr>
          <w:p w14:paraId="227CF851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18 years above</w:t>
            </w:r>
          </w:p>
        </w:tc>
        <w:tc>
          <w:tcPr>
            <w:tcW w:w="0" w:type="auto"/>
          </w:tcPr>
          <w:p w14:paraId="2F4F0681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Hypertensive</w:t>
            </w:r>
          </w:p>
          <w:p w14:paraId="05B95CDB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Patients</w:t>
            </w:r>
          </w:p>
        </w:tc>
        <w:tc>
          <w:tcPr>
            <w:tcW w:w="0" w:type="auto"/>
          </w:tcPr>
          <w:p w14:paraId="332BF6CE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Hospital</w:t>
            </w:r>
          </w:p>
        </w:tc>
        <w:tc>
          <w:tcPr>
            <w:tcW w:w="0" w:type="auto"/>
          </w:tcPr>
          <w:p w14:paraId="38A80DFC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LST 100mg/LST 100mg+</w:t>
            </w:r>
          </w:p>
          <w:p w14:paraId="222D4B86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lastRenderedPageBreak/>
              <w:t>HCTZ 12.gm</w:t>
            </w:r>
          </w:p>
        </w:tc>
        <w:tc>
          <w:tcPr>
            <w:tcW w:w="0" w:type="auto"/>
          </w:tcPr>
          <w:p w14:paraId="3EB71864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lastRenderedPageBreak/>
              <w:t>5</w:t>
            </w:r>
          </w:p>
        </w:tc>
        <w:tc>
          <w:tcPr>
            <w:tcW w:w="1623" w:type="dxa"/>
          </w:tcPr>
          <w:p w14:paraId="112F7D76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Efficacy and tolerability</w:t>
            </w:r>
          </w:p>
        </w:tc>
      </w:tr>
      <w:tr w:rsidR="006976EC" w:rsidRPr="00DD256C" w14:paraId="6662C852" w14:textId="77777777" w:rsidTr="00F2440B">
        <w:tc>
          <w:tcPr>
            <w:tcW w:w="0" w:type="auto"/>
          </w:tcPr>
          <w:p w14:paraId="49DFAE04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Makita</w:t>
            </w:r>
          </w:p>
        </w:tc>
        <w:tc>
          <w:tcPr>
            <w:tcW w:w="0" w:type="auto"/>
          </w:tcPr>
          <w:p w14:paraId="2523BD3A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64</w:t>
            </w:r>
          </w:p>
        </w:tc>
        <w:tc>
          <w:tcPr>
            <w:tcW w:w="0" w:type="auto"/>
          </w:tcPr>
          <w:p w14:paraId="671F1184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 xml:space="preserve">12 </w:t>
            </w:r>
          </w:p>
          <w:p w14:paraId="2DEFDEAE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Weeks</w:t>
            </w:r>
          </w:p>
        </w:tc>
        <w:tc>
          <w:tcPr>
            <w:tcW w:w="975" w:type="dxa"/>
          </w:tcPr>
          <w:p w14:paraId="663E7800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 xml:space="preserve">Double </w:t>
            </w:r>
          </w:p>
          <w:p w14:paraId="058E7A16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blinding</w:t>
            </w:r>
          </w:p>
        </w:tc>
        <w:tc>
          <w:tcPr>
            <w:tcW w:w="706" w:type="dxa"/>
          </w:tcPr>
          <w:p w14:paraId="45EE488D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2009</w:t>
            </w:r>
          </w:p>
        </w:tc>
        <w:tc>
          <w:tcPr>
            <w:tcW w:w="0" w:type="auto"/>
          </w:tcPr>
          <w:p w14:paraId="616229A7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Japan</w:t>
            </w:r>
          </w:p>
        </w:tc>
        <w:tc>
          <w:tcPr>
            <w:tcW w:w="0" w:type="auto"/>
          </w:tcPr>
          <w:p w14:paraId="0DE4E31B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18 years</w:t>
            </w:r>
          </w:p>
          <w:p w14:paraId="20E94AD1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Above</w:t>
            </w:r>
          </w:p>
        </w:tc>
        <w:tc>
          <w:tcPr>
            <w:tcW w:w="0" w:type="auto"/>
          </w:tcPr>
          <w:p w14:paraId="30E7FCC2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Hypertensive</w:t>
            </w:r>
          </w:p>
          <w:p w14:paraId="4ED8673B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patients</w:t>
            </w:r>
          </w:p>
        </w:tc>
        <w:tc>
          <w:tcPr>
            <w:tcW w:w="0" w:type="auto"/>
          </w:tcPr>
          <w:p w14:paraId="5EFD2A95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Hospital</w:t>
            </w:r>
          </w:p>
        </w:tc>
        <w:tc>
          <w:tcPr>
            <w:tcW w:w="0" w:type="auto"/>
          </w:tcPr>
          <w:p w14:paraId="31578267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TMSTN 40mg/</w:t>
            </w:r>
          </w:p>
          <w:p w14:paraId="05326EF5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TMSTN40mg+HCTZ</w:t>
            </w:r>
          </w:p>
          <w:p w14:paraId="7AD74FB1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12.5mg</w:t>
            </w:r>
          </w:p>
        </w:tc>
        <w:tc>
          <w:tcPr>
            <w:tcW w:w="0" w:type="auto"/>
          </w:tcPr>
          <w:p w14:paraId="31193D53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36</w:t>
            </w:r>
          </w:p>
        </w:tc>
        <w:tc>
          <w:tcPr>
            <w:tcW w:w="1623" w:type="dxa"/>
          </w:tcPr>
          <w:p w14:paraId="30527517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Efficacy and tolerability</w:t>
            </w:r>
          </w:p>
        </w:tc>
      </w:tr>
      <w:tr w:rsidR="006976EC" w:rsidRPr="00DD256C" w14:paraId="5FB44E80" w14:textId="77777777" w:rsidTr="00F2440B">
        <w:tc>
          <w:tcPr>
            <w:tcW w:w="0" w:type="auto"/>
          </w:tcPr>
          <w:p w14:paraId="76ABF13D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Rump</w:t>
            </w:r>
          </w:p>
        </w:tc>
        <w:tc>
          <w:tcPr>
            <w:tcW w:w="0" w:type="auto"/>
          </w:tcPr>
          <w:p w14:paraId="3D52B03D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698</w:t>
            </w:r>
          </w:p>
        </w:tc>
        <w:tc>
          <w:tcPr>
            <w:tcW w:w="0" w:type="auto"/>
          </w:tcPr>
          <w:p w14:paraId="283FF066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12weeks</w:t>
            </w:r>
          </w:p>
        </w:tc>
        <w:tc>
          <w:tcPr>
            <w:tcW w:w="975" w:type="dxa"/>
          </w:tcPr>
          <w:p w14:paraId="37F64389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 xml:space="preserve">Double </w:t>
            </w:r>
          </w:p>
          <w:p w14:paraId="7D89A75F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blinding</w:t>
            </w:r>
          </w:p>
        </w:tc>
        <w:tc>
          <w:tcPr>
            <w:tcW w:w="706" w:type="dxa"/>
          </w:tcPr>
          <w:p w14:paraId="24E6E817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2011</w:t>
            </w:r>
          </w:p>
        </w:tc>
        <w:tc>
          <w:tcPr>
            <w:tcW w:w="0" w:type="auto"/>
          </w:tcPr>
          <w:p w14:paraId="49628881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Europe</w:t>
            </w:r>
          </w:p>
        </w:tc>
        <w:tc>
          <w:tcPr>
            <w:tcW w:w="0" w:type="auto"/>
          </w:tcPr>
          <w:p w14:paraId="641BA802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18 years above</w:t>
            </w:r>
          </w:p>
        </w:tc>
        <w:tc>
          <w:tcPr>
            <w:tcW w:w="0" w:type="auto"/>
          </w:tcPr>
          <w:p w14:paraId="14094B31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 xml:space="preserve">Hypertensive </w:t>
            </w:r>
          </w:p>
          <w:p w14:paraId="439650F2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patients</w:t>
            </w:r>
          </w:p>
        </w:tc>
        <w:tc>
          <w:tcPr>
            <w:tcW w:w="0" w:type="auto"/>
          </w:tcPr>
          <w:p w14:paraId="78AC2BF4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Hospital</w:t>
            </w:r>
          </w:p>
        </w:tc>
        <w:tc>
          <w:tcPr>
            <w:tcW w:w="0" w:type="auto"/>
          </w:tcPr>
          <w:p w14:paraId="001F19E5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OLM 40mg/OLM40mg+</w:t>
            </w:r>
          </w:p>
          <w:p w14:paraId="4431092F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HCTZ 25mg</w:t>
            </w:r>
          </w:p>
        </w:tc>
        <w:tc>
          <w:tcPr>
            <w:tcW w:w="0" w:type="auto"/>
          </w:tcPr>
          <w:p w14:paraId="283A233F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25</w:t>
            </w:r>
          </w:p>
        </w:tc>
        <w:tc>
          <w:tcPr>
            <w:tcW w:w="1623" w:type="dxa"/>
          </w:tcPr>
          <w:p w14:paraId="59670193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Efficacy and tolerability</w:t>
            </w:r>
          </w:p>
        </w:tc>
      </w:tr>
      <w:tr w:rsidR="006976EC" w:rsidRPr="00DD256C" w14:paraId="164960CE" w14:textId="77777777" w:rsidTr="00F2440B">
        <w:tc>
          <w:tcPr>
            <w:tcW w:w="0" w:type="auto"/>
          </w:tcPr>
          <w:p w14:paraId="23346622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 xml:space="preserve">Toh </w:t>
            </w:r>
          </w:p>
        </w:tc>
        <w:tc>
          <w:tcPr>
            <w:tcW w:w="0" w:type="auto"/>
          </w:tcPr>
          <w:p w14:paraId="2C3EF3D4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200</w:t>
            </w:r>
          </w:p>
        </w:tc>
        <w:tc>
          <w:tcPr>
            <w:tcW w:w="0" w:type="auto"/>
          </w:tcPr>
          <w:p w14:paraId="061CDED1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12weeks</w:t>
            </w:r>
          </w:p>
        </w:tc>
        <w:tc>
          <w:tcPr>
            <w:tcW w:w="975" w:type="dxa"/>
          </w:tcPr>
          <w:p w14:paraId="1C9CA064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 xml:space="preserve">Double </w:t>
            </w:r>
          </w:p>
          <w:p w14:paraId="3FC1D31A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blinding</w:t>
            </w:r>
          </w:p>
        </w:tc>
        <w:tc>
          <w:tcPr>
            <w:tcW w:w="706" w:type="dxa"/>
          </w:tcPr>
          <w:p w14:paraId="09CC5DD2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2012</w:t>
            </w:r>
          </w:p>
        </w:tc>
        <w:tc>
          <w:tcPr>
            <w:tcW w:w="0" w:type="auto"/>
          </w:tcPr>
          <w:p w14:paraId="0037FECF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Japanese</w:t>
            </w:r>
          </w:p>
        </w:tc>
        <w:tc>
          <w:tcPr>
            <w:tcW w:w="0" w:type="auto"/>
          </w:tcPr>
          <w:p w14:paraId="7F37038B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30 years above</w:t>
            </w:r>
          </w:p>
        </w:tc>
        <w:tc>
          <w:tcPr>
            <w:tcW w:w="0" w:type="auto"/>
          </w:tcPr>
          <w:p w14:paraId="7C8FDC1D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Hypertensive</w:t>
            </w:r>
          </w:p>
          <w:p w14:paraId="35FC2D10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patients</w:t>
            </w:r>
          </w:p>
        </w:tc>
        <w:tc>
          <w:tcPr>
            <w:tcW w:w="0" w:type="auto"/>
          </w:tcPr>
          <w:p w14:paraId="26598147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Hospital</w:t>
            </w:r>
          </w:p>
        </w:tc>
        <w:tc>
          <w:tcPr>
            <w:tcW w:w="0" w:type="auto"/>
          </w:tcPr>
          <w:p w14:paraId="52C138B0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LZTN 50mg/LZTN 50</w:t>
            </w:r>
          </w:p>
          <w:p w14:paraId="59A8A51B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 xml:space="preserve"> </w:t>
            </w:r>
            <w:proofErr w:type="spellStart"/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mg+HCTZN</w:t>
            </w:r>
            <w:proofErr w:type="spellEnd"/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 xml:space="preserve"> 12.5mg</w:t>
            </w:r>
          </w:p>
        </w:tc>
        <w:tc>
          <w:tcPr>
            <w:tcW w:w="0" w:type="auto"/>
          </w:tcPr>
          <w:p w14:paraId="35D2EF9A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7</w:t>
            </w:r>
          </w:p>
        </w:tc>
        <w:tc>
          <w:tcPr>
            <w:tcW w:w="1623" w:type="dxa"/>
          </w:tcPr>
          <w:p w14:paraId="783EA4E8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Efficacy and tolerability</w:t>
            </w:r>
          </w:p>
        </w:tc>
      </w:tr>
      <w:tr w:rsidR="006976EC" w:rsidRPr="00DD256C" w14:paraId="70A43460" w14:textId="77777777" w:rsidTr="00F2440B">
        <w:tc>
          <w:tcPr>
            <w:tcW w:w="0" w:type="auto"/>
          </w:tcPr>
          <w:p w14:paraId="18137084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proofErr w:type="spellStart"/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Toumileko</w:t>
            </w:r>
            <w:proofErr w:type="spellEnd"/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 xml:space="preserve"> </w:t>
            </w:r>
          </w:p>
        </w:tc>
        <w:tc>
          <w:tcPr>
            <w:tcW w:w="0" w:type="auto"/>
          </w:tcPr>
          <w:p w14:paraId="3CD03BD7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3802</w:t>
            </w:r>
          </w:p>
        </w:tc>
        <w:tc>
          <w:tcPr>
            <w:tcW w:w="0" w:type="auto"/>
          </w:tcPr>
          <w:p w14:paraId="1B947050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12 weeks</w:t>
            </w:r>
          </w:p>
        </w:tc>
        <w:tc>
          <w:tcPr>
            <w:tcW w:w="975" w:type="dxa"/>
          </w:tcPr>
          <w:p w14:paraId="28A5724C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Double</w:t>
            </w:r>
          </w:p>
          <w:p w14:paraId="6E1EA127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blinding</w:t>
            </w:r>
          </w:p>
        </w:tc>
        <w:tc>
          <w:tcPr>
            <w:tcW w:w="706" w:type="dxa"/>
          </w:tcPr>
          <w:p w14:paraId="28194350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2008</w:t>
            </w:r>
          </w:p>
        </w:tc>
        <w:tc>
          <w:tcPr>
            <w:tcW w:w="0" w:type="auto"/>
          </w:tcPr>
          <w:p w14:paraId="6C382E80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Japanese</w:t>
            </w:r>
          </w:p>
        </w:tc>
        <w:tc>
          <w:tcPr>
            <w:tcW w:w="0" w:type="auto"/>
          </w:tcPr>
          <w:p w14:paraId="425CC78E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18 years above</w:t>
            </w:r>
          </w:p>
        </w:tc>
        <w:tc>
          <w:tcPr>
            <w:tcW w:w="0" w:type="auto"/>
          </w:tcPr>
          <w:p w14:paraId="7C607184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 xml:space="preserve">Hypertensive </w:t>
            </w:r>
          </w:p>
          <w:p w14:paraId="1AEFDA7A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 xml:space="preserve">Patients </w:t>
            </w:r>
          </w:p>
        </w:tc>
        <w:tc>
          <w:tcPr>
            <w:tcW w:w="0" w:type="auto"/>
          </w:tcPr>
          <w:p w14:paraId="7E9D482B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Hospital</w:t>
            </w:r>
          </w:p>
        </w:tc>
        <w:tc>
          <w:tcPr>
            <w:tcW w:w="0" w:type="auto"/>
          </w:tcPr>
          <w:p w14:paraId="72E68F41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VAL320mg/VAL320mg+</w:t>
            </w:r>
          </w:p>
          <w:p w14:paraId="1212B7B6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HCTZ12.5mg</w:t>
            </w:r>
          </w:p>
        </w:tc>
        <w:tc>
          <w:tcPr>
            <w:tcW w:w="0" w:type="auto"/>
          </w:tcPr>
          <w:p w14:paraId="731E87C6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123</w:t>
            </w:r>
          </w:p>
        </w:tc>
        <w:tc>
          <w:tcPr>
            <w:tcW w:w="1623" w:type="dxa"/>
          </w:tcPr>
          <w:p w14:paraId="754B9BC8" w14:textId="77777777" w:rsidR="006976EC" w:rsidRPr="00DD256C" w:rsidRDefault="006976EC" w:rsidP="00F2440B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DD256C">
              <w:rPr>
                <w:rFonts w:ascii="Times New Roman" w:hAnsi="Times New Roman" w:cs="Times New Roman"/>
                <w:color w:val="404040" w:themeColor="text1" w:themeTint="BF"/>
              </w:rPr>
              <w:t>Efficacy and</w:t>
            </w:r>
          </w:p>
        </w:tc>
      </w:tr>
    </w:tbl>
    <w:p w14:paraId="6F147B9C" w14:textId="77777777" w:rsidR="006976EC" w:rsidRPr="00DD256C" w:rsidRDefault="006976EC" w:rsidP="006976EC">
      <w:pPr>
        <w:spacing w:line="276" w:lineRule="auto"/>
        <w:jc w:val="both"/>
        <w:rPr>
          <w:rFonts w:ascii="Times New Roman" w:hAnsi="Times New Roman" w:cs="Times New Roman"/>
          <w:b/>
          <w:bCs/>
          <w:color w:val="212121"/>
          <w:sz w:val="21"/>
          <w:szCs w:val="21"/>
          <w:shd w:val="clear" w:color="auto" w:fill="FFFFFF"/>
        </w:rPr>
      </w:pPr>
    </w:p>
    <w:p w14:paraId="4EA0E9A1" w14:textId="77777777" w:rsidR="00000000" w:rsidRPr="00DD256C" w:rsidRDefault="00000000">
      <w:pPr>
        <w:rPr>
          <w:rFonts w:ascii="Times New Roman" w:hAnsi="Times New Roman" w:cs="Times New Roman"/>
        </w:rPr>
      </w:pPr>
    </w:p>
    <w:sectPr w:rsidR="0014134E" w:rsidRPr="00DD256C" w:rsidSect="006976E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153432" w14:textId="77777777" w:rsidR="00330686" w:rsidRDefault="00330686" w:rsidP="006976EC">
      <w:pPr>
        <w:spacing w:after="0" w:line="240" w:lineRule="auto"/>
      </w:pPr>
      <w:r>
        <w:separator/>
      </w:r>
    </w:p>
  </w:endnote>
  <w:endnote w:type="continuationSeparator" w:id="0">
    <w:p w14:paraId="50ECD6A8" w14:textId="77777777" w:rsidR="00330686" w:rsidRDefault="00330686" w:rsidP="00697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9AE050" w14:textId="77777777" w:rsidR="00330686" w:rsidRDefault="00330686" w:rsidP="006976EC">
      <w:pPr>
        <w:spacing w:after="0" w:line="240" w:lineRule="auto"/>
      </w:pPr>
      <w:r>
        <w:separator/>
      </w:r>
    </w:p>
  </w:footnote>
  <w:footnote w:type="continuationSeparator" w:id="0">
    <w:p w14:paraId="3369C1D7" w14:textId="77777777" w:rsidR="00330686" w:rsidRDefault="00330686" w:rsidP="006976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B468F5"/>
    <w:multiLevelType w:val="hybridMultilevel"/>
    <w:tmpl w:val="658299A2"/>
    <w:lvl w:ilvl="0" w:tplc="CE24E69A">
      <w:start w:val="1"/>
      <w:numFmt w:val="bullet"/>
      <w:lvlRestart w:val="0"/>
      <w:pStyle w:val="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6688765">
    <w:abstractNumId w:val="0"/>
  </w:num>
  <w:num w:numId="2" w16cid:durableId="183135457">
    <w:abstractNumId w:val="0"/>
  </w:num>
  <w:num w:numId="3" w16cid:durableId="344091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228"/>
    <w:rsid w:val="001C4626"/>
    <w:rsid w:val="0024541E"/>
    <w:rsid w:val="002635CD"/>
    <w:rsid w:val="002E3A41"/>
    <w:rsid w:val="002F5228"/>
    <w:rsid w:val="00330686"/>
    <w:rsid w:val="003C4458"/>
    <w:rsid w:val="00474C63"/>
    <w:rsid w:val="004A4AB7"/>
    <w:rsid w:val="00507AF4"/>
    <w:rsid w:val="005924F0"/>
    <w:rsid w:val="00624804"/>
    <w:rsid w:val="00670BF0"/>
    <w:rsid w:val="006976EC"/>
    <w:rsid w:val="00713AC3"/>
    <w:rsid w:val="00742C88"/>
    <w:rsid w:val="007E570E"/>
    <w:rsid w:val="00856E40"/>
    <w:rsid w:val="00A00B78"/>
    <w:rsid w:val="00A11BB4"/>
    <w:rsid w:val="00A53755"/>
    <w:rsid w:val="00BC00DD"/>
    <w:rsid w:val="00BD07EA"/>
    <w:rsid w:val="00DD2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897D20F"/>
  <w15:chartTrackingRefBased/>
  <w15:docId w15:val="{6D3F27B6-B32B-4734-B67F-09FB590E9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76EC"/>
    <w:pPr>
      <w:spacing w:after="160" w:line="259" w:lineRule="auto"/>
    </w:pPr>
    <w:rPr>
      <w:sz w:val="22"/>
      <w:lang w:val="en-GB" w:eastAsia="en-US"/>
      <w14:ligatures w14:val="standardContextual"/>
    </w:rPr>
  </w:style>
  <w:style w:type="paragraph" w:styleId="Heading1">
    <w:name w:val="heading 1"/>
    <w:aliases w:val="Heading level 1"/>
    <w:basedOn w:val="Normal"/>
    <w:next w:val="Normal"/>
    <w:link w:val="Heading1Char"/>
    <w:uiPriority w:val="9"/>
    <w:qFormat/>
    <w:rsid w:val="00624804"/>
    <w:pPr>
      <w:keepNext/>
      <w:keepLines/>
      <w:adjustRightInd w:val="0"/>
      <w:snapToGrid w:val="0"/>
      <w:spacing w:before="360" w:after="360" w:line="240" w:lineRule="auto"/>
      <w:jc w:val="both"/>
      <w:outlineLvl w:val="0"/>
    </w:pPr>
    <w:rPr>
      <w:rFonts w:ascii="Times New Roman" w:eastAsia="Times New Roman" w:hAnsi="Times New Roman" w:cs="Times New Roman"/>
      <w:b/>
      <w:bCs/>
      <w:noProof/>
      <w:color w:val="000000"/>
      <w:kern w:val="44"/>
      <w:sz w:val="24"/>
      <w:lang w:val="en-US" w:eastAsia="zh-CN"/>
      <w14:ligatures w14:val="none"/>
    </w:rPr>
  </w:style>
  <w:style w:type="paragraph" w:styleId="Heading2">
    <w:name w:val="heading 2"/>
    <w:aliases w:val="Heading level 2"/>
    <w:basedOn w:val="Normal"/>
    <w:next w:val="Normal"/>
    <w:link w:val="Heading2Char"/>
    <w:uiPriority w:val="9"/>
    <w:qFormat/>
    <w:rsid w:val="00742C88"/>
    <w:pPr>
      <w:keepNext/>
      <w:keepLines/>
      <w:adjustRightInd w:val="0"/>
      <w:snapToGrid w:val="0"/>
      <w:spacing w:before="240" w:after="240" w:line="240" w:lineRule="auto"/>
      <w:jc w:val="both"/>
      <w:outlineLvl w:val="1"/>
    </w:pPr>
    <w:rPr>
      <w:rFonts w:ascii="Times New Roman" w:eastAsia="Times New Roman" w:hAnsi="Times New Roman" w:cs="Times New Roman"/>
      <w:b/>
      <w:bCs/>
      <w:i/>
      <w:noProof/>
      <w:color w:val="000000"/>
      <w:sz w:val="21"/>
      <w:szCs w:val="21"/>
      <w:lang w:val="en-US" w:eastAsia="zh-CN"/>
      <w14:ligatures w14:val="none"/>
    </w:rPr>
  </w:style>
  <w:style w:type="paragraph" w:styleId="Heading3">
    <w:name w:val="heading 3"/>
    <w:aliases w:val="Heading level 3"/>
    <w:basedOn w:val="Normal"/>
    <w:next w:val="Normal"/>
    <w:link w:val="Heading3Char"/>
    <w:uiPriority w:val="9"/>
    <w:qFormat/>
    <w:rsid w:val="00742C88"/>
    <w:pPr>
      <w:keepNext/>
      <w:keepLines/>
      <w:adjustRightInd w:val="0"/>
      <w:snapToGrid w:val="0"/>
      <w:spacing w:before="160" w:line="240" w:lineRule="auto"/>
      <w:jc w:val="both"/>
      <w:outlineLvl w:val="2"/>
    </w:pPr>
    <w:rPr>
      <w:rFonts w:ascii="Times New Roman" w:eastAsia="Times New Roman" w:hAnsi="Times New Roman" w:cs="Times New Roman"/>
      <w:bCs/>
      <w:i/>
      <w:noProof/>
      <w:color w:val="000000"/>
      <w:sz w:val="21"/>
      <w:szCs w:val="21"/>
      <w:lang w:val="en-US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level 1 Char"/>
    <w:basedOn w:val="DefaultParagraphFont"/>
    <w:link w:val="Heading1"/>
    <w:uiPriority w:val="9"/>
    <w:rsid w:val="00624804"/>
    <w:rPr>
      <w:rFonts w:ascii="Times New Roman" w:eastAsia="Times New Roman" w:hAnsi="Times New Roman" w:cs="Times New Roman"/>
      <w:b/>
      <w:bCs/>
      <w:noProof/>
      <w:color w:val="000000"/>
      <w:kern w:val="44"/>
      <w:sz w:val="24"/>
    </w:rPr>
  </w:style>
  <w:style w:type="character" w:customStyle="1" w:styleId="Heading2Char">
    <w:name w:val="Heading 2 Char"/>
    <w:aliases w:val="Heading level 2 Char"/>
    <w:basedOn w:val="DefaultParagraphFont"/>
    <w:link w:val="Heading2"/>
    <w:uiPriority w:val="9"/>
    <w:rsid w:val="00742C88"/>
    <w:rPr>
      <w:rFonts w:ascii="Times New Roman" w:eastAsia="Times New Roman" w:hAnsi="Times New Roman" w:cs="Times New Roman"/>
      <w:b/>
      <w:bCs/>
      <w:i/>
      <w:noProof/>
      <w:color w:val="000000"/>
      <w:szCs w:val="21"/>
    </w:rPr>
  </w:style>
  <w:style w:type="paragraph" w:customStyle="1" w:styleId="Abstract">
    <w:name w:val="Abstract"/>
    <w:next w:val="Normal"/>
    <w:uiPriority w:val="5"/>
    <w:qFormat/>
    <w:rsid w:val="00742C88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Academiceditor">
    <w:name w:val="Academic editor"/>
    <w:uiPriority w:val="4"/>
    <w:qFormat/>
    <w:rsid w:val="00742C88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Affiliation">
    <w:name w:val="Affiliation"/>
    <w:uiPriority w:val="3"/>
    <w:qFormat/>
    <w:rsid w:val="00742C88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Articletitle">
    <w:name w:val="Article title"/>
    <w:next w:val="Normal"/>
    <w:uiPriority w:val="1"/>
    <w:qFormat/>
    <w:rsid w:val="00742C88"/>
    <w:pPr>
      <w:adjustRightInd w:val="0"/>
      <w:snapToGrid w:val="0"/>
      <w:jc w:val="both"/>
    </w:pPr>
    <w:rPr>
      <w:rFonts w:ascii="Times New Roman" w:eastAsia="Times New Roman" w:hAnsi="Times New Roman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Articletype">
    <w:name w:val="Article type"/>
    <w:next w:val="Normal"/>
    <w:qFormat/>
    <w:rsid w:val="00742C88"/>
    <w:pPr>
      <w:adjustRightInd w:val="0"/>
      <w:snapToGrid w:val="0"/>
    </w:pPr>
    <w:rPr>
      <w:rFonts w:ascii="Times New Roman" w:eastAsia="Times New Roman" w:hAnsi="Times New Roman" w:cs="Times New Roman"/>
      <w:i/>
      <w:snapToGrid w:val="0"/>
      <w:color w:val="000000"/>
      <w:kern w:val="0"/>
      <w:sz w:val="20"/>
      <w:lang w:eastAsia="de-DE" w:bidi="en-US"/>
    </w:rPr>
  </w:style>
  <w:style w:type="paragraph" w:customStyle="1" w:styleId="Authornames">
    <w:name w:val="Authornames"/>
    <w:next w:val="Normal"/>
    <w:uiPriority w:val="2"/>
    <w:qFormat/>
    <w:rsid w:val="00742C88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Backmatter">
    <w:name w:val="Back matter"/>
    <w:uiPriority w:val="18"/>
    <w:qFormat/>
    <w:rsid w:val="00742C88"/>
    <w:pPr>
      <w:adjustRightInd w:val="0"/>
      <w:snapToGrid w:val="0"/>
      <w:spacing w:beforeLines="50" w:before="50" w:afterLines="50" w:after="50"/>
      <w:jc w:val="both"/>
    </w:pPr>
    <w:rPr>
      <w:rFonts w:ascii="Times New Roman" w:eastAsia="Times New Roman" w:hAnsi="Times New Roman" w:cs="Times New Roman"/>
      <w:b/>
      <w:snapToGrid w:val="0"/>
      <w:color w:val="000000"/>
      <w:kern w:val="0"/>
      <w:sz w:val="24"/>
      <w:szCs w:val="24"/>
      <w:lang w:eastAsia="en-US" w:bidi="en-US"/>
    </w:rPr>
  </w:style>
  <w:style w:type="paragraph" w:customStyle="1" w:styleId="Bullet">
    <w:name w:val="Bullet"/>
    <w:uiPriority w:val="16"/>
    <w:qFormat/>
    <w:rsid w:val="00742C88"/>
    <w:pPr>
      <w:numPr>
        <w:numId w:val="3"/>
      </w:numPr>
      <w:adjustRightInd w:val="0"/>
      <w:snapToGrid w:val="0"/>
      <w:spacing w:before="40" w:after="40"/>
      <w:ind w:hangingChars="200" w:hanging="200"/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E-mail">
    <w:name w:val="E-mail"/>
    <w:link w:val="E-mail0"/>
    <w:uiPriority w:val="4"/>
    <w:qFormat/>
    <w:rsid w:val="00742C88"/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character" w:customStyle="1" w:styleId="E-mail0">
    <w:name w:val="E-mail 字符"/>
    <w:basedOn w:val="DefaultParagraphFont"/>
    <w:link w:val="E-mail"/>
    <w:uiPriority w:val="4"/>
    <w:rsid w:val="00742C88"/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Equation">
    <w:name w:val="Equation"/>
    <w:uiPriority w:val="17"/>
    <w:qFormat/>
    <w:rsid w:val="00742C88"/>
    <w:pPr>
      <w:adjustRightInd w:val="0"/>
      <w:snapToGrid w:val="0"/>
      <w:spacing w:before="60" w:after="60"/>
      <w:ind w:left="709"/>
      <w:jc w:val="center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Figure">
    <w:name w:val="Figure"/>
    <w:uiPriority w:val="15"/>
    <w:qFormat/>
    <w:rsid w:val="00742C88"/>
    <w:pPr>
      <w:adjustRightInd w:val="0"/>
      <w:snapToGrid w:val="0"/>
      <w:jc w:val="center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Figurecaption">
    <w:name w:val="Figure caption"/>
    <w:uiPriority w:val="14"/>
    <w:qFormat/>
    <w:rsid w:val="00742C88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Figuretitle">
    <w:name w:val="Figure title"/>
    <w:uiPriority w:val="13"/>
    <w:rsid w:val="00742C88"/>
    <w:pPr>
      <w:adjustRightInd w:val="0"/>
      <w:snapToGrid w:val="0"/>
      <w:spacing w:after="100" w:afterAutospacing="1"/>
      <w:jc w:val="center"/>
    </w:pPr>
    <w:rPr>
      <w:rFonts w:ascii="Times New Roman" w:eastAsia="Times New Roman" w:hAnsi="Times New Roman" w:cs="Times New Roman"/>
      <w:b/>
      <w:noProof/>
      <w:color w:val="000000"/>
      <w:kern w:val="0"/>
      <w:szCs w:val="21"/>
      <w:lang w:bidi="en-US"/>
    </w:rPr>
  </w:style>
  <w:style w:type="paragraph" w:customStyle="1" w:styleId="Keywords">
    <w:name w:val="Keywords"/>
    <w:next w:val="Normal"/>
    <w:link w:val="Keywords0"/>
    <w:uiPriority w:val="6"/>
    <w:qFormat/>
    <w:rsid w:val="00742C88"/>
    <w:pPr>
      <w:adjustRightInd w:val="0"/>
      <w:snapToGrid w:val="0"/>
      <w:jc w:val="both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character" w:customStyle="1" w:styleId="Keywords0">
    <w:name w:val="Keywords 字符"/>
    <w:basedOn w:val="DefaultParagraphFont"/>
    <w:link w:val="Keywords"/>
    <w:uiPriority w:val="6"/>
    <w:rsid w:val="00742C88"/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Reference">
    <w:name w:val="Reference"/>
    <w:link w:val="Reference0"/>
    <w:uiPriority w:val="19"/>
    <w:qFormat/>
    <w:rsid w:val="00742C88"/>
    <w:pPr>
      <w:ind w:left="200" w:hangingChars="200" w:hanging="200"/>
      <w:jc w:val="both"/>
    </w:pPr>
    <w:rPr>
      <w:rFonts w:ascii="Times New Roman" w:eastAsia="Times New Roman" w:hAnsi="Times New Roman" w:cs="Times New Roman"/>
      <w:snapToGrid w:val="0"/>
      <w:color w:val="000000"/>
      <w:kern w:val="0"/>
      <w:sz w:val="18"/>
      <w:szCs w:val="21"/>
      <w:lang w:eastAsia="de-DE" w:bidi="en-US"/>
    </w:rPr>
  </w:style>
  <w:style w:type="character" w:customStyle="1" w:styleId="Reference0">
    <w:name w:val="Reference 字符"/>
    <w:basedOn w:val="Keywords0"/>
    <w:link w:val="Reference"/>
    <w:uiPriority w:val="19"/>
    <w:rsid w:val="00742C88"/>
    <w:rPr>
      <w:rFonts w:ascii="Times New Roman" w:eastAsia="Times New Roman" w:hAnsi="Times New Roman" w:cs="Times New Roman"/>
      <w:snapToGrid w:val="0"/>
      <w:color w:val="000000"/>
      <w:kern w:val="0"/>
      <w:sz w:val="18"/>
      <w:szCs w:val="21"/>
      <w:lang w:eastAsia="de-DE" w:bidi="en-US"/>
    </w:rPr>
  </w:style>
  <w:style w:type="paragraph" w:customStyle="1" w:styleId="Tablebody">
    <w:name w:val="Table body"/>
    <w:uiPriority w:val="11"/>
    <w:qFormat/>
    <w:rsid w:val="00742C88"/>
    <w:pPr>
      <w:jc w:val="both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Tablecaption">
    <w:name w:val="Table caption"/>
    <w:uiPriority w:val="11"/>
    <w:qFormat/>
    <w:rsid w:val="00742C88"/>
    <w:pPr>
      <w:adjustRightInd w:val="0"/>
      <w:snapToGrid w:val="0"/>
      <w:spacing w:beforeLines="100" w:before="100" w:afterLines="100" w:after="100"/>
      <w:jc w:val="center"/>
    </w:pPr>
    <w:rPr>
      <w:rFonts w:ascii="Times New Roman" w:eastAsia="Times New Roman" w:hAnsi="Times New Roman" w:cs="Times New Roman"/>
      <w:b/>
      <w:noProof/>
      <w:color w:val="000000"/>
      <w:kern w:val="0"/>
      <w:szCs w:val="24"/>
      <w:lang w:bidi="en-US"/>
    </w:rPr>
  </w:style>
  <w:style w:type="paragraph" w:customStyle="1" w:styleId="Tablefooter">
    <w:name w:val="Table footer"/>
    <w:next w:val="Normal"/>
    <w:uiPriority w:val="12"/>
    <w:qFormat/>
    <w:rsid w:val="00742C88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Text">
    <w:name w:val="Text"/>
    <w:link w:val="Text0"/>
    <w:uiPriority w:val="10"/>
    <w:qFormat/>
    <w:rsid w:val="002E3A41"/>
    <w:pPr>
      <w:ind w:firstLineChars="200" w:firstLine="200"/>
      <w:jc w:val="both"/>
    </w:pPr>
    <w:rPr>
      <w:rFonts w:ascii="Times New Roman" w:eastAsia="Times New Roman" w:hAnsi="Times New Roman" w:cs="Times New Roman"/>
      <w:snapToGrid w:val="0"/>
      <w:color w:val="000000"/>
      <w:szCs w:val="28"/>
      <w:lang w:eastAsia="de-DE" w:bidi="en-US"/>
    </w:rPr>
  </w:style>
  <w:style w:type="character" w:customStyle="1" w:styleId="Text0">
    <w:name w:val="Text 字符"/>
    <w:basedOn w:val="DefaultParagraphFont"/>
    <w:link w:val="Text"/>
    <w:uiPriority w:val="10"/>
    <w:rsid w:val="002E3A41"/>
    <w:rPr>
      <w:rFonts w:ascii="Times New Roman" w:eastAsia="Times New Roman" w:hAnsi="Times New Roman" w:cs="Times New Roman"/>
      <w:snapToGrid w:val="0"/>
      <w:color w:val="000000"/>
      <w:szCs w:val="28"/>
      <w:lang w:eastAsia="de-DE" w:bidi="en-US"/>
    </w:rPr>
  </w:style>
  <w:style w:type="character" w:customStyle="1" w:styleId="Heading3Char">
    <w:name w:val="Heading 3 Char"/>
    <w:aliases w:val="Heading level 3 Char"/>
    <w:basedOn w:val="DefaultParagraphFont"/>
    <w:link w:val="Heading3"/>
    <w:uiPriority w:val="9"/>
    <w:rsid w:val="00742C88"/>
    <w:rPr>
      <w:rFonts w:ascii="Times New Roman" w:eastAsia="Times New Roman" w:hAnsi="Times New Roman" w:cs="Times New Roman"/>
      <w:bCs/>
      <w:i/>
      <w:noProof/>
      <w:color w:val="000000"/>
      <w:szCs w:val="21"/>
    </w:rPr>
  </w:style>
  <w:style w:type="paragraph" w:styleId="Header">
    <w:name w:val="header"/>
    <w:basedOn w:val="Normal"/>
    <w:link w:val="HeaderChar"/>
    <w:uiPriority w:val="99"/>
    <w:unhideWhenUsed/>
    <w:rsid w:val="006976EC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sz w:val="18"/>
      <w:szCs w:val="18"/>
      <w:lang w:val="en-US" w:eastAsia="zh-CN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6976EC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976EC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sz w:val="18"/>
      <w:szCs w:val="18"/>
      <w:lang w:val="en-US" w:eastAsia="zh-CN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sid w:val="006976EC"/>
    <w:rPr>
      <w:sz w:val="18"/>
      <w:szCs w:val="18"/>
    </w:rPr>
  </w:style>
  <w:style w:type="table" w:styleId="TableGrid">
    <w:name w:val="Table Grid"/>
    <w:basedOn w:val="TableNormal"/>
    <w:uiPriority w:val="59"/>
    <w:rsid w:val="006976EC"/>
    <w:rPr>
      <w:sz w:val="22"/>
      <w:lang w:val="en-GB"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187</Words>
  <Characters>1103</Characters>
  <Application>Microsoft Office Word</Application>
  <DocSecurity>0</DocSecurity>
  <Lines>157</Lines>
  <Paragraphs>143</Paragraphs>
  <ScaleCrop>false</ScaleCrop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Pacem</dc:creator>
  <cp:keywords/>
  <dc:description/>
  <cp:lastModifiedBy>Chinedu Egwu</cp:lastModifiedBy>
  <cp:revision>2</cp:revision>
  <dcterms:created xsi:type="dcterms:W3CDTF">2024-11-11T09:03:00Z</dcterms:created>
  <dcterms:modified xsi:type="dcterms:W3CDTF">2024-11-11T09:03:00Z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d7ab2df68aacb6a1edf0aef4307491402f20c51ff6161f97161b5fcdcf273dc5</vt:lpwstr>
  </property>
</Properties>
</file>